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5A" w:rsidRDefault="0088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8155A" w:rsidRDefault="0088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88155A" w:rsidRDefault="0088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88155A" w:rsidRDefault="0088155A">
      <w:pPr>
        <w:jc w:val="center"/>
        <w:rPr>
          <w:b/>
          <w:sz w:val="28"/>
          <w:szCs w:val="28"/>
        </w:rPr>
      </w:pPr>
    </w:p>
    <w:p w:rsidR="0088155A" w:rsidRDefault="0088155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8155A" w:rsidRDefault="0088155A">
      <w:pPr>
        <w:jc w:val="both"/>
        <w:rPr>
          <w:b/>
          <w:sz w:val="28"/>
        </w:rPr>
      </w:pPr>
    </w:p>
    <w:p w:rsidR="0088155A" w:rsidRDefault="0088155A" w:rsidP="0088155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От 20.05.2026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613</w:t>
      </w:r>
    </w:p>
    <w:p w:rsidR="00FC5E6E" w:rsidRDefault="00FC5E6E">
      <w:pPr>
        <w:ind w:firstLine="181"/>
        <w:jc w:val="center"/>
        <w:rPr>
          <w:b/>
          <w:bCs/>
          <w:sz w:val="28"/>
          <w:szCs w:val="28"/>
        </w:rPr>
      </w:pPr>
    </w:p>
    <w:p w:rsidR="00FC5E6E" w:rsidRDefault="001E1BD3">
      <w:pPr>
        <w:ind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итоговых показателей прогноза социально-экономического развития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округа Нижегородской области за 2025 год</w:t>
      </w:r>
    </w:p>
    <w:p w:rsidR="00FC5E6E" w:rsidRDefault="00FC5E6E">
      <w:pPr>
        <w:jc w:val="center"/>
        <w:rPr>
          <w:b/>
          <w:bCs/>
          <w:sz w:val="28"/>
          <w:szCs w:val="28"/>
        </w:rPr>
      </w:pPr>
    </w:p>
    <w:p w:rsidR="00FC5E6E" w:rsidRDefault="001E1BD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 статьей 35 Федерального закона от 28 июня 2014 года № 172-ФЗ «О стратегическом планировании в Российской Федерации», статьей 11 Закона Нижегородской области от 3 марта 2015 года № 24-3 «О страте</w:t>
      </w:r>
      <w:r>
        <w:rPr>
          <w:sz w:val="28"/>
          <w:szCs w:val="28"/>
        </w:rPr>
        <w:t xml:space="preserve">гическом планировании в Нижегородской области», 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от 03.11.2015 №1108 «О порядке разработки, корректировки, осуществления мониторинга и контроля реализации прогноза социа</w:t>
      </w:r>
      <w:r>
        <w:rPr>
          <w:sz w:val="28"/>
          <w:szCs w:val="28"/>
        </w:rPr>
        <w:t xml:space="preserve">льно-экономического развития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района  Нижегородской области </w:t>
      </w:r>
      <w:r>
        <w:rPr>
          <w:sz w:val="28"/>
          <w:szCs w:val="28"/>
        </w:rPr>
        <w:t>на среднесрочный период»</w:t>
      </w:r>
      <w:r>
        <w:rPr>
          <w:bCs/>
          <w:sz w:val="28"/>
          <w:szCs w:val="28"/>
        </w:rPr>
        <w:t>,</w:t>
      </w:r>
      <w:r>
        <w:rPr>
          <w:bCs/>
        </w:rPr>
        <w:t xml:space="preserve"> </w:t>
      </w:r>
      <w:r>
        <w:rPr>
          <w:sz w:val="28"/>
          <w:szCs w:val="28"/>
        </w:rPr>
        <w:t>админи</w:t>
      </w:r>
      <w:r w:rsidR="0088155A">
        <w:rPr>
          <w:sz w:val="28"/>
          <w:szCs w:val="28"/>
        </w:rPr>
        <w:t xml:space="preserve">страция </w:t>
      </w:r>
      <w:proofErr w:type="spellStart"/>
      <w:r w:rsidR="0088155A">
        <w:rPr>
          <w:sz w:val="28"/>
          <w:szCs w:val="28"/>
        </w:rPr>
        <w:t>Бутурлинского</w:t>
      </w:r>
      <w:proofErr w:type="spellEnd"/>
      <w:r w:rsidR="0088155A">
        <w:rPr>
          <w:sz w:val="28"/>
          <w:szCs w:val="28"/>
        </w:rPr>
        <w:t xml:space="preserve"> муниципального округа Нижегородской </w:t>
      </w:r>
      <w:r>
        <w:rPr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 п о с т а н о в л я е т:</w:t>
      </w:r>
    </w:p>
    <w:p w:rsidR="00FC5E6E" w:rsidRDefault="001E1B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итогов</w:t>
      </w:r>
      <w:r>
        <w:rPr>
          <w:sz w:val="28"/>
          <w:szCs w:val="28"/>
        </w:rPr>
        <w:t xml:space="preserve">ые показатели прогноза социально-экономического развития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за 2025 год согласно приложению.</w:t>
      </w:r>
    </w:p>
    <w:p w:rsidR="00FC5E6E" w:rsidRDefault="008815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1BD3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FC5E6E" w:rsidRDefault="00FC5E6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FC5E6E" w:rsidRDefault="001E1BD3" w:rsidP="008815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Осуществляющий полномочия</w:t>
      </w:r>
    </w:p>
    <w:p w:rsidR="00FC5E6E" w:rsidRDefault="001E1BD3" w:rsidP="008815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м</w:t>
      </w:r>
      <w:r>
        <w:rPr>
          <w:sz w:val="28"/>
          <w:szCs w:val="28"/>
        </w:rPr>
        <w:t>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155A">
        <w:rPr>
          <w:sz w:val="28"/>
          <w:szCs w:val="28"/>
        </w:rPr>
        <w:tab/>
      </w:r>
      <w:proofErr w:type="spellStart"/>
      <w:r w:rsidR="0088155A">
        <w:rPr>
          <w:sz w:val="28"/>
          <w:szCs w:val="28"/>
        </w:rPr>
        <w:t>В</w:t>
      </w:r>
      <w:r>
        <w:rPr>
          <w:sz w:val="28"/>
          <w:szCs w:val="28"/>
        </w:rPr>
        <w:t>.В.Савинов</w:t>
      </w:r>
      <w:proofErr w:type="spellEnd"/>
    </w:p>
    <w:p w:rsidR="00FC5E6E" w:rsidRDefault="00FC5E6E">
      <w:pPr>
        <w:widowControl w:val="0"/>
        <w:spacing w:line="360" w:lineRule="auto"/>
        <w:jc w:val="both"/>
        <w:rPr>
          <w:sz w:val="28"/>
          <w:szCs w:val="28"/>
        </w:rPr>
      </w:pPr>
    </w:p>
    <w:p w:rsidR="0088155A" w:rsidRDefault="0088155A">
      <w:pPr>
        <w:rPr>
          <w:szCs w:val="24"/>
        </w:rPr>
      </w:pPr>
      <w:r>
        <w:rPr>
          <w:szCs w:val="24"/>
        </w:rPr>
        <w:br w:type="page"/>
      </w:r>
    </w:p>
    <w:p w:rsidR="00FC5E6E" w:rsidRDefault="001E1BD3">
      <w:pPr>
        <w:jc w:val="right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FC5E6E" w:rsidRDefault="001E1BD3">
      <w:pPr>
        <w:jc w:val="right"/>
        <w:rPr>
          <w:szCs w:val="24"/>
        </w:rPr>
      </w:pPr>
      <w:r>
        <w:rPr>
          <w:szCs w:val="24"/>
        </w:rPr>
        <w:t xml:space="preserve">Утверждено </w:t>
      </w:r>
    </w:p>
    <w:p w:rsidR="00FC5E6E" w:rsidRDefault="001E1BD3">
      <w:pPr>
        <w:jc w:val="right"/>
        <w:rPr>
          <w:szCs w:val="24"/>
        </w:rPr>
      </w:pPr>
      <w:r>
        <w:rPr>
          <w:szCs w:val="24"/>
        </w:rPr>
        <w:t xml:space="preserve">постановлением администрации </w:t>
      </w:r>
      <w:proofErr w:type="spellStart"/>
      <w:r>
        <w:rPr>
          <w:szCs w:val="24"/>
        </w:rPr>
        <w:t>Бутурлинского</w:t>
      </w:r>
      <w:proofErr w:type="spellEnd"/>
    </w:p>
    <w:p w:rsidR="00FC5E6E" w:rsidRDefault="001E1BD3">
      <w:pPr>
        <w:jc w:val="right"/>
        <w:rPr>
          <w:szCs w:val="24"/>
        </w:rPr>
      </w:pPr>
      <w:r>
        <w:rPr>
          <w:szCs w:val="24"/>
        </w:rPr>
        <w:t xml:space="preserve"> муниципального округа Нижегородской области </w:t>
      </w:r>
    </w:p>
    <w:p w:rsidR="00FC5E6E" w:rsidRDefault="001E1BD3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88155A">
        <w:rPr>
          <w:szCs w:val="24"/>
        </w:rPr>
        <w:t xml:space="preserve">20.05.2026 </w:t>
      </w:r>
      <w:r>
        <w:rPr>
          <w:szCs w:val="24"/>
        </w:rPr>
        <w:t>№</w:t>
      </w:r>
      <w:r w:rsidR="0088155A">
        <w:rPr>
          <w:szCs w:val="24"/>
        </w:rPr>
        <w:t>613</w:t>
      </w:r>
    </w:p>
    <w:p w:rsidR="00FC5E6E" w:rsidRDefault="001E1BD3">
      <w:pPr>
        <w:pStyle w:val="ConsPlusNormal"/>
        <w:widowControl/>
        <w:tabs>
          <w:tab w:val="left" w:pos="7380"/>
        </w:tabs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C5E6E" w:rsidRDefault="00FC5E6E">
      <w:pPr>
        <w:pStyle w:val="ConsPlusNormal"/>
        <w:widowControl/>
        <w:tabs>
          <w:tab w:val="left" w:pos="7380"/>
        </w:tabs>
        <w:ind w:firstLine="0"/>
        <w:jc w:val="right"/>
        <w:rPr>
          <w:sz w:val="22"/>
          <w:szCs w:val="22"/>
        </w:rPr>
      </w:pPr>
    </w:p>
    <w:p w:rsidR="00FC5E6E" w:rsidRDefault="001E1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Итоговые показатели прогноза социально-экономического развития </w:t>
      </w:r>
      <w:proofErr w:type="spellStart"/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</w:t>
      </w:r>
    </w:p>
    <w:p w:rsidR="00FC5E6E" w:rsidRDefault="001E1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 год</w:t>
      </w:r>
    </w:p>
    <w:p w:rsidR="00FC5E6E" w:rsidRDefault="00FC5E6E">
      <w:pPr>
        <w:jc w:val="center"/>
        <w:rPr>
          <w:b/>
          <w:sz w:val="28"/>
          <w:szCs w:val="28"/>
        </w:rPr>
      </w:pPr>
    </w:p>
    <w:tbl>
      <w:tblPr>
        <w:tblW w:w="102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5"/>
        <w:gridCol w:w="1142"/>
        <w:gridCol w:w="1159"/>
        <w:gridCol w:w="1060"/>
        <w:gridCol w:w="1060"/>
        <w:gridCol w:w="1060"/>
        <w:gridCol w:w="765"/>
      </w:tblGrid>
      <w:tr w:rsidR="00FC5E6E">
        <w:trPr>
          <w:trHeight w:val="255"/>
        </w:trPr>
        <w:tc>
          <w:tcPr>
            <w:tcW w:w="3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2023г. отчет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2024г. отчет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</w:tr>
      <w:tr w:rsidR="00FC5E6E">
        <w:trPr>
          <w:trHeight w:val="945"/>
        </w:trPr>
        <w:tc>
          <w:tcPr>
            <w:tcW w:w="3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FC5E6E">
            <w:pPr>
              <w:rPr>
                <w:sz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FC5E6E">
            <w:pPr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FC5E6E">
            <w:pPr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FC5E6E">
            <w:pPr>
              <w:rPr>
                <w:sz w:val="20"/>
              </w:rPr>
            </w:pP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прогноз </w:t>
            </w:r>
            <w:r>
              <w:rPr>
                <w:sz w:val="20"/>
              </w:rPr>
              <w:br w:type="textWrapping" w:clear="all"/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z w:val="20"/>
              </w:rPr>
              <w:br w:type="textWrapping" w:clear="all"/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выполнения прогноза</w:t>
            </w:r>
          </w:p>
        </w:tc>
      </w:tr>
      <w:tr w:rsidR="00FC5E6E">
        <w:trPr>
          <w:trHeight w:val="1065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>1.Отгружено товаров собственного производства, выполнено работ и услуг (по полному кругу предприятий)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3862,9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4647,5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5124,6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4850,1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94,64</w:t>
            </w:r>
          </w:p>
        </w:tc>
      </w:tr>
      <w:tr w:rsidR="00FC5E6E">
        <w:trPr>
          <w:trHeight w:val="255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FC5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FC5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FC5E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FC5E6E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FC5E6E">
            <w:pPr>
              <w:rPr>
                <w:sz w:val="18"/>
                <w:szCs w:val="18"/>
              </w:rPr>
            </w:pPr>
          </w:p>
        </w:tc>
      </w:tr>
      <w:tr w:rsidR="00FC5E6E">
        <w:trPr>
          <w:trHeight w:val="510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 xml:space="preserve">по крупным и средним предприятиям 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876,4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1066,0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1203,3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1246,6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103,5</w:t>
            </w:r>
          </w:p>
        </w:tc>
      </w:tr>
      <w:tr w:rsidR="00FC5E6E">
        <w:trPr>
          <w:trHeight w:val="1020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 xml:space="preserve">2. Объем валовой продукции сельского хозяйства по сельскохозяйственным предприятиям 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3689,3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3855,5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4255,3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4697,6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110,39</w:t>
            </w:r>
          </w:p>
        </w:tc>
      </w:tr>
      <w:tr w:rsidR="00FC5E6E">
        <w:trPr>
          <w:trHeight w:val="555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 xml:space="preserve">3. Оборот розничной торговли 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1330,0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1426,5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1208,5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1217,4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>100,7</w:t>
            </w:r>
          </w:p>
        </w:tc>
      </w:tr>
      <w:tr w:rsidR="00FC5E6E">
        <w:trPr>
          <w:trHeight w:val="540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sz w:val="20"/>
              </w:rPr>
              <w:t>Объем платных услуг населению (крупные и средние предприятия)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77,09</w:t>
            </w:r>
          </w:p>
        </w:tc>
      </w:tr>
      <w:tr w:rsidR="00FC5E6E">
        <w:trPr>
          <w:trHeight w:val="645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>5. Численность работников, формирующих фонд оплаты труда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чел.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3,026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2,980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94,03</w:t>
            </w:r>
          </w:p>
        </w:tc>
      </w:tr>
      <w:tr w:rsidR="00FC5E6E">
        <w:trPr>
          <w:trHeight w:val="600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 xml:space="preserve">6. Фонд заработной платы, всего 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2712,58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1762,36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2021,7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1929,38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95,43</w:t>
            </w:r>
          </w:p>
        </w:tc>
      </w:tr>
      <w:tr w:rsidR="00FC5E6E">
        <w:trPr>
          <w:trHeight w:val="510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 xml:space="preserve">7. Среднемесячная заработная плата одного работающего 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48171,23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47690,64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51870,2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53948,15</w:t>
            </w:r>
          </w:p>
        </w:tc>
        <w:tc>
          <w:tcPr>
            <w:tcW w:w="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104,00</w:t>
            </w:r>
          </w:p>
        </w:tc>
      </w:tr>
      <w:tr w:rsidR="00FC5E6E">
        <w:trPr>
          <w:trHeight w:val="720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>8. Темп роста реальной заработной платы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к </w:t>
            </w:r>
            <w:proofErr w:type="spellStart"/>
            <w:r>
              <w:rPr>
                <w:sz w:val="18"/>
                <w:szCs w:val="18"/>
              </w:rPr>
              <w:t>предыдущ</w:t>
            </w:r>
            <w:proofErr w:type="spellEnd"/>
            <w:r>
              <w:rPr>
                <w:sz w:val="18"/>
                <w:szCs w:val="18"/>
              </w:rPr>
              <w:t>. году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06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114,7</w:t>
            </w:r>
          </w:p>
        </w:tc>
        <w:tc>
          <w:tcPr>
            <w:tcW w:w="106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113,12</w:t>
            </w:r>
          </w:p>
        </w:tc>
        <w:tc>
          <w:tcPr>
            <w:tcW w:w="76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102,46</w:t>
            </w:r>
          </w:p>
        </w:tc>
      </w:tr>
      <w:tr w:rsidR="00FC5E6E">
        <w:trPr>
          <w:trHeight w:val="685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 Прибыль прибыльных организаций</w:t>
            </w:r>
            <w:r>
              <w:rPr>
                <w:sz w:val="20"/>
              </w:rPr>
              <w:t xml:space="preserve"> по кругу крупных и средних организаций</w:t>
            </w:r>
          </w:p>
        </w:tc>
        <w:tc>
          <w:tcPr>
            <w:tcW w:w="11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192,9</w:t>
            </w:r>
          </w:p>
        </w:tc>
        <w:tc>
          <w:tcPr>
            <w:tcW w:w="10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208,9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291,027</w:t>
            </w:r>
          </w:p>
        </w:tc>
        <w:tc>
          <w:tcPr>
            <w:tcW w:w="76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139,31</w:t>
            </w:r>
          </w:p>
        </w:tc>
      </w:tr>
      <w:tr w:rsidR="00FC5E6E">
        <w:trPr>
          <w:trHeight w:val="765"/>
        </w:trPr>
        <w:tc>
          <w:tcPr>
            <w:tcW w:w="397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rPr>
                <w:sz w:val="20"/>
              </w:rPr>
            </w:pPr>
            <w:r>
              <w:rPr>
                <w:sz w:val="20"/>
              </w:rPr>
              <w:t>10. Инвестиции в основной капитал (по полному кругу предприятий)</w:t>
            </w:r>
          </w:p>
        </w:tc>
        <w:tc>
          <w:tcPr>
            <w:tcW w:w="11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млн. руб.</w:t>
            </w:r>
          </w:p>
        </w:tc>
        <w:tc>
          <w:tcPr>
            <w:tcW w:w="11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1663,6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1438,7</w:t>
            </w:r>
          </w:p>
        </w:tc>
        <w:tc>
          <w:tcPr>
            <w:tcW w:w="106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1748,33</w:t>
            </w:r>
          </w:p>
        </w:tc>
        <w:tc>
          <w:tcPr>
            <w:tcW w:w="106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1293,14</w:t>
            </w:r>
          </w:p>
        </w:tc>
        <w:tc>
          <w:tcPr>
            <w:tcW w:w="76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E6E" w:rsidRDefault="001E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73,96</w:t>
            </w:r>
          </w:p>
        </w:tc>
      </w:tr>
    </w:tbl>
    <w:p w:rsidR="00FC5E6E" w:rsidRDefault="00FC5E6E">
      <w:pPr>
        <w:pStyle w:val="ConsPlusNormal"/>
        <w:widowControl/>
        <w:tabs>
          <w:tab w:val="left" w:pos="7380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FC5E6E">
      <w:headerReference w:type="even" r:id="rId7"/>
      <w:headerReference w:type="default" r:id="rId8"/>
      <w:pgSz w:w="11906" w:h="16838"/>
      <w:pgMar w:top="568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D3" w:rsidRDefault="001E1BD3">
      <w:r>
        <w:separator/>
      </w:r>
    </w:p>
  </w:endnote>
  <w:endnote w:type="continuationSeparator" w:id="0">
    <w:p w:rsidR="001E1BD3" w:rsidRDefault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D3" w:rsidRDefault="001E1BD3">
      <w:r>
        <w:separator/>
      </w:r>
    </w:p>
  </w:footnote>
  <w:footnote w:type="continuationSeparator" w:id="0">
    <w:p w:rsidR="001E1BD3" w:rsidRDefault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E6E" w:rsidRDefault="001E1BD3">
    <w:pPr>
      <w:pStyle w:val="ab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FC5E6E" w:rsidRDefault="00FC5E6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E6E" w:rsidRDefault="00FC5E6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B3D57"/>
    <w:multiLevelType w:val="hybridMultilevel"/>
    <w:tmpl w:val="EE34E8CA"/>
    <w:lvl w:ilvl="0" w:tplc="52C029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812C1B1A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 w:tplc="04929AFC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 w:tplc="3F587BD2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 w:tplc="9E768150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 w:tplc="75D6FCCA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 w:tplc="94BA466C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 w:tplc="2B5CC704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 w:tplc="7D56D36C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3CFC519D"/>
    <w:multiLevelType w:val="hybridMultilevel"/>
    <w:tmpl w:val="5EA09CEE"/>
    <w:lvl w:ilvl="0" w:tplc="E78A2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C2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E4A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0E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80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A4E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E1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05E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0FF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5753A9"/>
    <w:multiLevelType w:val="hybridMultilevel"/>
    <w:tmpl w:val="60807856"/>
    <w:lvl w:ilvl="0" w:tplc="0172E3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413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D2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EDD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C24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645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867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282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8B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9F1457"/>
    <w:multiLevelType w:val="hybridMultilevel"/>
    <w:tmpl w:val="1FF69CC0"/>
    <w:lvl w:ilvl="0" w:tplc="F9501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478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206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4A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AFB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09A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C8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27D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0C5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E6E"/>
    <w:rsid w:val="001E1BD3"/>
    <w:rsid w:val="0088155A"/>
    <w:rsid w:val="00F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B532E-6DB4-4BA8-B361-39FECCA0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i/>
      <w:sz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3">
    <w:name w:val="Основной шрифт абзаца1"/>
  </w:style>
  <w:style w:type="character" w:customStyle="1" w:styleId="afb">
    <w:name w:val="Символ нумерации"/>
  </w:style>
  <w:style w:type="character" w:customStyle="1" w:styleId="afc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d">
    <w:name w:val="Заголовок"/>
    <w:basedOn w:val="a"/>
    <w:next w:val="a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Pr>
      <w:sz w:val="28"/>
    </w:rPr>
  </w:style>
  <w:style w:type="paragraph" w:styleId="aff">
    <w:name w:val="List"/>
    <w:basedOn w:val="afe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f0">
    <w:name w:val="Body Text Indent"/>
    <w:basedOn w:val="a"/>
    <w:pPr>
      <w:ind w:left="705"/>
      <w:jc w:val="both"/>
    </w:pPr>
    <w:rPr>
      <w:sz w:val="28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f4">
    <w:name w:val="page number"/>
    <w:basedOn w:val="a0"/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paragraph" w:customStyle="1" w:styleId="aff5">
    <w:name w:val="Знак"/>
    <w:basedOn w:val="a"/>
    <w:pPr>
      <w:widowControl w:val="0"/>
      <w:tabs>
        <w:tab w:val="left" w:pos="2160"/>
      </w:tabs>
      <w:spacing w:before="120" w:after="160" w:line="240" w:lineRule="exact"/>
      <w:jc w:val="both"/>
    </w:pPr>
    <w:rPr>
      <w:rFonts w:ascii="Bookman Old Style" w:hAnsi="Bookman Old Style"/>
      <w:sz w:val="20"/>
      <w:lang w:val="en-GB" w:eastAsia="en-US" w:bidi="he-IL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customStyle="1" w:styleId="forminfo">
    <w:name w:val="forminfo"/>
    <w:basedOn w:val="a0"/>
  </w:style>
  <w:style w:type="character" w:styleId="aff6">
    <w:name w:val="Strong"/>
    <w:qFormat/>
    <w:rPr>
      <w:b/>
      <w:bCs/>
    </w:rPr>
  </w:style>
  <w:style w:type="paragraph" w:styleId="aff7">
    <w:name w:val="Normal (Web)"/>
    <w:basedOn w:val="a"/>
    <w:pPr>
      <w:spacing w:before="100" w:beforeAutospacing="1" w:after="100" w:afterAutospacing="1" w:line="225" w:lineRule="atLeast"/>
    </w:pPr>
    <w:rPr>
      <w:rFonts w:ascii="Verdana" w:hAnsi="Verdana"/>
      <w:color w:val="000000"/>
      <w:sz w:val="18"/>
      <w:szCs w:val="18"/>
      <w:lang w:eastAsia="ru-RU"/>
    </w:rPr>
  </w:style>
  <w:style w:type="paragraph" w:customStyle="1" w:styleId="af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f9">
    <w:name w:val="Нормальный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Company>MoBIL GROUP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kadr-2</cp:lastModifiedBy>
  <cp:revision>33</cp:revision>
  <dcterms:created xsi:type="dcterms:W3CDTF">2021-03-31T05:49:00Z</dcterms:created>
  <dcterms:modified xsi:type="dcterms:W3CDTF">2026-05-21T05:13:00Z</dcterms:modified>
  <cp:version>786432</cp:version>
</cp:coreProperties>
</file>